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4D" w:rsidRDefault="0024604D" w:rsidP="0024604D">
      <w:pPr>
        <w:pStyle w:val="1"/>
      </w:pPr>
      <w:r>
        <w:t>(7775-14-6)（连二亚硫酸钠）保险粉的理化及危险特性表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427"/>
        <w:gridCol w:w="2758"/>
        <w:gridCol w:w="2501"/>
      </w:tblGrid>
      <w:tr w:rsidR="0024604D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中文名：连二亚硫酸钠；保险粉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英文名sodium hyposulfite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sodium dithionite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  <w:vertAlign w:val="subscript"/>
              </w:rPr>
            </w:pPr>
            <w:r>
              <w:rPr>
                <w:rFonts w:ascii="宋体" w:hAnsi="宋体" w:hint="eastAsia"/>
              </w:rPr>
              <w:t>分子式:Na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S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O</w:t>
            </w:r>
            <w:r>
              <w:rPr>
                <w:rFonts w:ascii="宋体" w:hAnsi="宋体" w:hint="eastAsia"/>
                <w:vertAlign w:val="subscript"/>
              </w:rPr>
              <w:t>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分子量:174.11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UN编号：1384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危险类别：第4.2类自燃物品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42012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CAS号：7775-14-6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包装标志：自燃物品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外观与性状：白色砂状结晶或淡黄色粉末。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：不溶于乙醇。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熔点（℃）：＞300（分解）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相对密度（水＝1）：无资料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24604D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爆炸下限：无资料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引燃温度（℃）：250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  无资料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不稳定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燃烧分解产物：硫化物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避免接触的条件：受热分解、在空气中可氧化。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强氧化剂、酸类、易燃或可燃物。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危险特性：强还原剂。250℃时能自燃。加热或接触明火会引起燃烧。暴露在空气中会被氧化而变质。遇水、酸类或与有机物、氧化剂接触，都可放出大量热而引起剧烈燃烧，并放出有毒和易燃的二氧化硫。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灭火方法：尽可能将容器从火场移至空旷处。灭火剂：干粉、二氧化碳、砂土。禁止用水。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24604D" w:rsidTr="0090435F">
        <w:trPr>
          <w:cantSplit/>
          <w:trHeight w:val="498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24604D" w:rsidTr="0090435F">
        <w:trPr>
          <w:cantSplit/>
          <w:trHeight w:val="567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本品对眼、呼吸道和皮肤有刺激性，接触后可引起头痛、恶心和呕吐。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皮肤接触：脱去污染的衣着，用肥皂水和清水彻底冲洗皮肤。  ※眼睛接触：提起眼睑，用大流动清水或生理盐水冲冼，就医。   ※吸入：迅速脱离现场至空气新鲜处，保持呼吸道通畅。如呼吸困难给输氧。如呼吸停止，立即进行人工呼吸。就医。  ※食入：饮足量温水，催吐。就医。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   ※呼吸系统防护：可能接触其粉尘时，应该佩戴自吸过滤式防尘口罩。必要时，佩戴自给式呼吸器。   ※眼睛防护：戴安全防护眼镜。    ※身体防护：穿化学防护服。   ※手防护：戴乳胶手套。    ※其他：工作现场禁止吸烟、进食和饮水。工作毕，淋浴更衣。注意个人清洁卫生。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隔离泄漏污染区，限制出入。切断火源。建议应急处理人员戴自给式呼吸器，穿消防防护服。不要直接接触泄漏物。小量泄漏：避免扬尘，用洁净的铲子收集于干燥、洁净、有盖的容器中。转移至安全场所。大量泄漏：用干石灰、砂土或苏打灰覆盖，使用无火花的工具收集回收或运至废物处理场所处置。</w:t>
            </w:r>
          </w:p>
        </w:tc>
      </w:tr>
      <w:tr w:rsidR="0024604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4D" w:rsidRDefault="0024604D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。相对湿度保持在75％以下。防止阳光直射。包装必须密封，切勿受潮。应与氧化剂、酸类分开存放。平时需勤检查，查仓温，查混储。搬运时要轻装轻卸，防止包装及容器损坏。雨天不宜运输。</w:t>
            </w:r>
          </w:p>
        </w:tc>
      </w:tr>
    </w:tbl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4D"/>
    <w:rsid w:val="0024604D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6DFDD-E5B1-41BB-84AC-D8287B54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4604D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4604D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>zyhq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